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8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auto" w:val="clear"/>
          <w:rtl w:val="0"/>
        </w:rPr>
        <w:t xml:space="preserve">This SOP will outline and track procedures and responsible parties for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performing regularly scheduled business reviews with MSP clients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auto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before="480" w:lineRule="auto"/>
        <w:ind w:left="432" w:hanging="43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PURPOSE:  Standardize the (x)BR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432" w:hanging="43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SCOPE: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document covers the (x)BR from start to finish and post (x)BR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432" w:hanging="43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PARTICIPANTS:  vCIO / Account Manager / Dispatch / Support Tech / Intern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432" w:hanging="43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PROCEDURE:</w:t>
      </w:r>
    </w:p>
    <w:tbl>
      <w:tblPr>
        <w:tblStyle w:val="Table1"/>
        <w:tblW w:w="8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9"/>
        <w:gridCol w:w="1579"/>
        <w:gridCol w:w="5697"/>
        <w:tblGridChange w:id="0">
          <w:tblGrid>
            <w:gridCol w:w="1579"/>
            <w:gridCol w:w="1579"/>
            <w:gridCol w:w="5697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bottom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Responsible Party</w:t>
            </w:r>
          </w:p>
        </w:tc>
        <w:tc>
          <w:tcPr>
            <w:shd w:fill="9fc5e8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Action Step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Sales Assistant (workflow)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Create xBR ticket and assign resources (3 weeks in advance)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Sales Assistant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2952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Send Agenda and Feedback requests to client. “What’s changed/changing in your business or industry?”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2952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patch status and create tickets for anomalies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2952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DNS security report and create tickets for anomalies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tabs>
                <w:tab w:val="center" w:pos="4320"/>
                <w:tab w:val="right" w:pos="864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AV report and create tickets for anomalies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Warranty report and create Recommendation(s) for expirations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Dark Web report and note new breaches for discussion at xBR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ESS report and note scores below ### for discussion at xBR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Phishing Campaign report and note new failures for discussion at xBR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Security Engineer - To be delegated in the future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Run fresh network scan using Cyber CNS / Network Detective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Security Engineer - To be delegated in the future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Network Scan reports and create tickets for anomalies.  Note new devices for discussion at xBR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Key Security Groups (admin, domain admin, enterprise admin, schema admin) and note anomalies for discussion at xBR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Review LCI Assets, Users, and Microsoft tabs and note anomalies for discussion at xBR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 Engineer / Office Manager / Account Manager / Owner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Schedule the xBR with the client.  Add resources accordingly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114300" distT="114300" distL="114300" distR="114300">
                  <wp:extent cx="3181350" cy="11811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Tech?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AM/CS?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vCIO?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Upload Patch Report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Upload DNS Security Report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Upload Anti-Virus Software Report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Upload Huntress Software Report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Upload Lifecycle Insights Warranty Report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Review BSN Report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Upload Network Scan - Security Report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Upload Network Scan - Powerpoint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Upload Financial Report (profitability) (probably private)</w:t>
            </w:r>
          </w:p>
        </w:tc>
      </w:tr>
      <w:tr>
        <w:trPr>
          <w:cantSplit w:val="1"/>
          <w:trHeight w:val="75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Alternate 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Verify LCI Tabs - Assets, Users, Contracts (Second set of eyes)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Alternate 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Verify Reports (Second set of eyes)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 / Support Engineer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LCI Ticket Volume Report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Leadership / Account Managers</w:t>
            </w:r>
          </w:p>
        </w:tc>
        <w:tc>
          <w:tcPr>
            <w:shd w:fill="c9daf8" w:val="clear"/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Deliver (x)BR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Leadership / Account Managers</w:t>
            </w:r>
          </w:p>
        </w:tc>
        <w:tc>
          <w:tcPr>
            <w:shd w:fill="c9daf8" w:val="clear"/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Enter Tickets for Deliverables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Leadership / Account Managers</w:t>
            </w:r>
          </w:p>
        </w:tc>
        <w:tc>
          <w:tcPr>
            <w:shd w:fill="c9daf8" w:val="clear"/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Follow-up Questions: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can we do better or different?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 should we meet again?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Who do you know that would benefit from this type of meeting?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Would you give me a Google Review?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Sales Assistant</w:t>
            </w:r>
          </w:p>
        </w:tc>
        <w:tc>
          <w:tcPr>
            <w:shd w:fill="d9ead3" w:val="clear"/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Follow up on (x)BR Deliverables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Sales Assistant</w:t>
            </w:r>
          </w:p>
        </w:tc>
        <w:tc>
          <w:tcPr>
            <w:shd w:fill="d9ead3" w:val="clear"/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Schedule future (x)BRs (workflow)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1"/>
        <w:tabs>
          <w:tab w:val="left" w:pos="360"/>
        </w:tabs>
        <w:spacing w:before="48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VERSION HISTORY</w:t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548"/>
        <w:gridCol w:w="1800"/>
        <w:gridCol w:w="5508"/>
        <w:tblGridChange w:id="0">
          <w:tblGrid>
            <w:gridCol w:w="1548"/>
            <w:gridCol w:w="1800"/>
            <w:gridCol w:w="550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1"/>
              <w:tabs>
                <w:tab w:val="left" w:pos="360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1"/>
              <w:tabs>
                <w:tab w:val="left" w:pos="360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rtl w:val="0"/>
              </w:rPr>
              <w:t xml:space="preserve">EFFECTIVE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1"/>
              <w:tabs>
                <w:tab w:val="left" w:pos="360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rtl w:val="0"/>
              </w:rPr>
              <w:t xml:space="preserve">DESCRIPTION OF CHANGE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tabs>
                <w:tab w:val="left" w:pos="360"/>
              </w:tabs>
              <w:spacing w:after="60" w:before="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1"/>
              <w:tabs>
                <w:tab w:val="left" w:pos="360"/>
              </w:tabs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1"/>
              <w:tabs>
                <w:tab w:val="left" w:pos="360"/>
              </w:tabs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57313" cy="47165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7313" cy="4716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tabs>
        <w:tab w:val="left" w:pos="-90"/>
      </w:tabs>
      <w:spacing w:after="0" w:line="240" w:lineRule="auto"/>
      <w:ind w:left="-86" w:firstLine="0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Standard Operating Procedure</w:t>
      <w:tab/>
      <w:tab/>
      <w:tab/>
      <w:tab/>
      <w:tab/>
      <w:tab/>
      <w:t xml:space="preserve">Confidential</w:t>
    </w:r>
  </w:p>
  <w:tbl>
    <w:tblPr>
      <w:tblStyle w:val="Table3"/>
      <w:tblW w:w="876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780"/>
      <w:gridCol w:w="3060"/>
      <w:gridCol w:w="1920"/>
      <w:tblGridChange w:id="0">
        <w:tblGrid>
          <w:gridCol w:w="3780"/>
          <w:gridCol w:w="3060"/>
          <w:gridCol w:w="1920"/>
        </w:tblGrid>
      </w:tblGridChange>
    </w:tblGrid>
    <w:tr>
      <w:trPr>
        <w:cantSplit w:val="1"/>
        <w:trHeight w:val="40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78">
          <w:pPr>
            <w:keepNext w:val="1"/>
            <w:spacing w:line="240" w:lineRule="auto"/>
            <w:jc w:val="center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Business Review SOP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9">
          <w:pPr>
            <w:spacing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E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ffective Date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: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 2022-02-04</w:t>
          </w:r>
        </w:p>
      </w:tc>
      <w:tc>
        <w:tcPr>
          <w:vAlign w:val="center"/>
        </w:tcPr>
        <w:p w:rsidR="00000000" w:rsidDel="00000000" w:rsidP="00000000" w:rsidRDefault="00000000" w:rsidRPr="00000000" w14:paraId="0000007A">
          <w:pPr>
            <w:spacing w:line="240" w:lineRule="auto"/>
            <w:jc w:val="center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Page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 of 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432" w:hanging="432"/>
      </w:pPr>
      <w:rPr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52" w:hanging="1152"/>
      </w:pPr>
      <w:rPr/>
    </w:lvl>
    <w:lvl w:ilvl="3">
      <w:start w:val="1"/>
      <w:numFmt w:val="decimal"/>
      <w:lvlText w:val="%1.%2.%3.%4."/>
      <w:lvlJc w:val="left"/>
      <w:pPr>
        <w:ind w:left="2304" w:hanging="1152"/>
      </w:pPr>
      <w:rPr>
        <w:b w:val="0"/>
        <w:sz w:val="24"/>
        <w:szCs w:val="24"/>
      </w:r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cs="Noto Sans Symbols" w:eastAsia="Noto Sans Symbols" w:hAnsi="Noto Sans Symbols"/>
      </w:rPr>
    </w:lvl>
    <w:lvl w:ilvl="5">
      <w:start w:val="1"/>
      <w:numFmt w:val="decimal"/>
      <w:lvlText w:val="%1.%2.%3.%4.●.%6."/>
      <w:lvlJc w:val="left"/>
      <w:pPr>
        <w:ind w:left="2736" w:hanging="935.9999999999998"/>
      </w:pPr>
      <w:rPr/>
    </w:lvl>
    <w:lvl w:ilvl="6">
      <w:start w:val="1"/>
      <w:numFmt w:val="decimal"/>
      <w:lvlText w:val="%1.%2.%3.%4.●.%6.%7."/>
      <w:lvlJc w:val="left"/>
      <w:pPr>
        <w:ind w:left="3240" w:hanging="1080"/>
      </w:pPr>
      <w:rPr/>
    </w:lvl>
    <w:lvl w:ilvl="7">
      <w:start w:val="1"/>
      <w:numFmt w:val="decimal"/>
      <w:lvlText w:val="%1.%2.%3.%4.●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●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